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4A" w:rsidRDefault="00452D4A" w:rsidP="00452D4A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</w:p>
    <w:p w:rsidR="00452D4A" w:rsidRDefault="00452D4A" w:rsidP="00452D4A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center"/>
      </w:pPr>
      <w:r>
        <w:t>2. Входа (входов) в здание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452D4A" w:rsidRDefault="00452D4A" w:rsidP="00452D4A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452D4A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Лестница (наружная)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Пандус (наружный)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Входная площадка (перед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дверью)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Дверь (входная)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Тамбур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2D4A" w:rsidRDefault="00452D4A" w:rsidP="00452D4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52D4A" w:rsidRDefault="00452D4A" w:rsidP="00452D4A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452D4A" w:rsidRDefault="00452D4A" w:rsidP="00452D4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452D4A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3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Рекомендации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адаптации (вид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работы) </w:t>
            </w:r>
            <w:hyperlink w:anchor="Par23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D4A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4A" w:rsidRDefault="00452D4A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362"/>
      <w:bookmarkEnd w:id="0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363"/>
      <w:bookmarkEnd w:id="1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</w:p>
    <w:p w:rsidR="00452D4A" w:rsidRDefault="00452D4A" w:rsidP="00452D4A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452D4A" w:rsidRDefault="00452D4A" w:rsidP="00452D4A">
      <w:pPr>
        <w:widowControl w:val="0"/>
        <w:autoSpaceDE w:val="0"/>
        <w:autoSpaceDN w:val="0"/>
        <w:adjustRightInd w:val="0"/>
      </w:pPr>
    </w:p>
    <w:p w:rsidR="00452D4A" w:rsidRDefault="00452D4A" w:rsidP="00452D4A">
      <w:pPr>
        <w:widowControl w:val="0"/>
        <w:autoSpaceDE w:val="0"/>
        <w:autoSpaceDN w:val="0"/>
        <w:adjustRightInd w:val="0"/>
      </w:pPr>
    </w:p>
    <w:p w:rsidR="00452D4A" w:rsidRDefault="00452D4A" w:rsidP="00452D4A">
      <w:pPr>
        <w:widowControl w:val="0"/>
        <w:autoSpaceDE w:val="0"/>
        <w:autoSpaceDN w:val="0"/>
        <w:adjustRightInd w:val="0"/>
      </w:pPr>
    </w:p>
    <w:p w:rsidR="00A40978" w:rsidRDefault="00A40978">
      <w:bookmarkStart w:id="2" w:name="_GoBack"/>
      <w:bookmarkEnd w:id="2"/>
    </w:p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4A"/>
    <w:rsid w:val="00452D4A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2013-02-06T07:53:00Z</dcterms:created>
  <dcterms:modified xsi:type="dcterms:W3CDTF">2013-02-06T07:54:00Z</dcterms:modified>
</cp:coreProperties>
</file>